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3D6CC">
      <w:pPr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附件1</w:t>
      </w:r>
    </w:p>
    <w:p w14:paraId="329B0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珠海科技学院学生社团年审制度</w:t>
      </w:r>
    </w:p>
    <w:p w14:paraId="0197F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（试行）</w:t>
      </w:r>
    </w:p>
    <w:p w14:paraId="7F204EF4">
      <w:pPr>
        <w:jc w:val="center"/>
        <w:rPr>
          <w:rFonts w:ascii="仿宋_GB2312" w:hAnsi="仿宋" w:eastAsia="仿宋_GB2312" w:cs="Times New Roman"/>
          <w:b/>
          <w:sz w:val="36"/>
          <w:szCs w:val="36"/>
        </w:rPr>
      </w:pPr>
    </w:p>
    <w:p w14:paraId="08013F3D">
      <w:pPr>
        <w:numPr>
          <w:ilvl w:val="0"/>
          <w:numId w:val="1"/>
        </w:num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总 则</w:t>
      </w:r>
    </w:p>
    <w:p w14:paraId="5AEB35F2">
      <w:pPr>
        <w:numPr>
          <w:ilvl w:val="0"/>
          <w:numId w:val="2"/>
        </w:numPr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规范我校学生社团的管理，充分发挥学生社团“丰富课余生活，繁荣校园文化，促进学生德智体美劳全面发展”的作用，推进学生社团规范化发展，根据《高校学生社团建设管理办法》等有关规定，依据《珠</w:t>
      </w:r>
      <w:r>
        <w:rPr>
          <w:rFonts w:hint="default" w:ascii="Times New Roman" w:hAnsi="Times New Roman" w:eastAsia="仿宋" w:cs="Times New Roman"/>
          <w:sz w:val="32"/>
          <w:szCs w:val="32"/>
        </w:rPr>
        <w:t>海科技学院学生社团组织管理规定》</w:t>
      </w:r>
      <w:r>
        <w:rPr>
          <w:rFonts w:hint="default" w:ascii="Times New Roman" w:hAnsi="Times New Roman" w:eastAsia="仿宋" w:cs="Times New Roman"/>
          <w:spacing w:val="-7"/>
          <w:sz w:val="32"/>
          <w:szCs w:val="32"/>
        </w:rPr>
        <w:t>(校团字〔202</w:t>
      </w:r>
      <w:r>
        <w:rPr>
          <w:rFonts w:hint="default" w:ascii="Times New Roman" w:hAnsi="Times New Roman" w:eastAsia="仿宋" w:cs="Times New Roman"/>
          <w:spacing w:val="-7"/>
          <w:sz w:val="32"/>
          <w:szCs w:val="32"/>
          <w:lang w:val="en-US"/>
        </w:rPr>
        <w:t>3</w:t>
      </w:r>
      <w:r>
        <w:rPr>
          <w:rFonts w:hint="default" w:ascii="Times New Roman" w:hAnsi="Times New Roman" w:eastAsia="仿宋" w:cs="Times New Roman"/>
          <w:spacing w:val="-7"/>
          <w:sz w:val="32"/>
          <w:szCs w:val="32"/>
        </w:rPr>
        <w:t>〕</w:t>
      </w:r>
      <w:r>
        <w:rPr>
          <w:rFonts w:hint="default" w:ascii="Times New Roman" w:hAnsi="Times New Roman" w:eastAsia="仿宋" w:cs="Times New Roman"/>
          <w:spacing w:val="-7"/>
          <w:sz w:val="32"/>
          <w:szCs w:val="32"/>
          <w:lang w:val="en-US"/>
        </w:rPr>
        <w:t>30</w:t>
      </w:r>
      <w:r>
        <w:rPr>
          <w:rFonts w:hint="default" w:ascii="Times New Roman" w:hAnsi="Times New Roman" w:eastAsia="仿宋" w:cs="Times New Roman"/>
          <w:spacing w:val="-7"/>
          <w:sz w:val="32"/>
          <w:szCs w:val="32"/>
        </w:rPr>
        <w:t>号)的</w:t>
      </w:r>
      <w:r>
        <w:rPr>
          <w:rFonts w:hint="default" w:ascii="Times New Roman" w:hAnsi="Times New Roman" w:eastAsia="仿宋" w:cs="Times New Roman"/>
          <w:sz w:val="32"/>
          <w:szCs w:val="32"/>
        </w:rPr>
        <w:t>要求，特制定本年审制度。本制度适用于登记时间超过6个月的学生社团。</w:t>
      </w:r>
    </w:p>
    <w:p w14:paraId="7C663C78">
      <w:pPr>
        <w:numPr>
          <w:ilvl w:val="0"/>
          <w:numId w:val="2"/>
        </w:num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年审工作由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共青团珠海科技学院委员会（以下简称校团委）</w:t>
      </w:r>
      <w:r>
        <w:rPr>
          <w:rFonts w:hint="default" w:ascii="Times New Roman" w:hAnsi="Times New Roman" w:eastAsia="仿宋" w:cs="Times New Roman"/>
          <w:sz w:val="32"/>
          <w:szCs w:val="32"/>
        </w:rPr>
        <w:t>指导校学生社团联合会组织实施。年审将遵循公平、公开、公正和注重实绩的原则，对学生社团进行全面审核。</w:t>
      </w:r>
    </w:p>
    <w:p w14:paraId="4EE2F840">
      <w:pPr>
        <w:numPr>
          <w:ilvl w:val="0"/>
          <w:numId w:val="1"/>
        </w:num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年审内容</w:t>
      </w:r>
    </w:p>
    <w:p w14:paraId="6FD11A85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珠海科技学院学生社团年审的内容包括组织建设、活动开展情况、工作纪律、财务状况等。</w:t>
      </w:r>
    </w:p>
    <w:p w14:paraId="0433365E">
      <w:pPr>
        <w:numPr>
          <w:ilvl w:val="0"/>
          <w:numId w:val="3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遵守法律法规及《珠海科技学院学生社团组织管理规定》等有关规定情况；</w:t>
      </w:r>
    </w:p>
    <w:p w14:paraId="44EFF83A">
      <w:pPr>
        <w:numPr>
          <w:ilvl w:val="0"/>
          <w:numId w:val="3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学生社团章程等规章制度制定及组织建设的情况；</w:t>
      </w:r>
    </w:p>
    <w:p w14:paraId="4BD69849">
      <w:pPr>
        <w:numPr>
          <w:ilvl w:val="0"/>
          <w:numId w:val="3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依照规定履行登记手续和完成会员信息注册的情况；</w:t>
      </w:r>
    </w:p>
    <w:p w14:paraId="69EAEAB2">
      <w:pPr>
        <w:numPr>
          <w:ilvl w:val="0"/>
          <w:numId w:val="3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按照要求进行社团活动申请、备案的情况；</w:t>
      </w:r>
    </w:p>
    <w:p w14:paraId="255FD3E6">
      <w:pPr>
        <w:numPr>
          <w:ilvl w:val="0"/>
          <w:numId w:val="3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新闻宣传及舆情反馈情况；</w:t>
      </w:r>
    </w:p>
    <w:p w14:paraId="5E738897">
      <w:pPr>
        <w:numPr>
          <w:ilvl w:val="0"/>
          <w:numId w:val="3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主要负责人、指导教师变更的情况；</w:t>
      </w:r>
    </w:p>
    <w:p w14:paraId="23B4F1F0">
      <w:pPr>
        <w:numPr>
          <w:ilvl w:val="0"/>
          <w:numId w:val="3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社团学年工作总结及获奖情况；</w:t>
      </w:r>
    </w:p>
    <w:p w14:paraId="51A263A0">
      <w:pPr>
        <w:numPr>
          <w:ilvl w:val="0"/>
          <w:numId w:val="3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其他有关情况。</w:t>
      </w:r>
    </w:p>
    <w:p w14:paraId="3C8D760E">
      <w:pPr>
        <w:numPr>
          <w:ilvl w:val="0"/>
          <w:numId w:val="1"/>
        </w:num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年审方法和步骤</w:t>
      </w:r>
    </w:p>
    <w:p w14:paraId="1EC67488">
      <w:pPr>
        <w:numPr>
          <w:ilvl w:val="0"/>
          <w:numId w:val="4"/>
        </w:numPr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各学生社团参照年审量化考核表进行自评和打分，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总</w:t>
      </w:r>
      <w:r>
        <w:rPr>
          <w:rFonts w:hint="default" w:ascii="Times New Roman" w:hAnsi="Times New Roman" w:eastAsia="仿宋" w:cs="Times New Roman"/>
          <w:sz w:val="32"/>
          <w:szCs w:val="32"/>
        </w:rPr>
        <w:t>得分为100分。同时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需</w:t>
      </w:r>
      <w:r>
        <w:rPr>
          <w:rFonts w:hint="default" w:ascii="Times New Roman" w:hAnsi="Times New Roman" w:eastAsia="仿宋" w:cs="Times New Roman"/>
          <w:sz w:val="32"/>
          <w:szCs w:val="32"/>
        </w:rPr>
        <w:t>提交相应的支撑材料。校团委对学生社团上交的材料进行审查核准，并根据最终得分进行排名。</w:t>
      </w:r>
    </w:p>
    <w:p w14:paraId="66E772B6">
      <w:pPr>
        <w:numPr>
          <w:ilvl w:val="0"/>
          <w:numId w:val="4"/>
        </w:numPr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各学生社团年审材料提交：</w:t>
      </w:r>
    </w:p>
    <w:p w14:paraId="76FB1979">
      <w:pPr>
        <w:pStyle w:val="14"/>
        <w:numPr>
          <w:ilvl w:val="0"/>
          <w:numId w:val="5"/>
        </w:numPr>
        <w:spacing w:line="360" w:lineRule="auto"/>
        <w:ind w:left="1055" w:leftChars="0" w:hanging="425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纸质版材料：</w:t>
      </w:r>
    </w:p>
    <w:p w14:paraId="6485458E">
      <w:pPr>
        <w:spacing w:line="360" w:lineRule="auto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附件2《珠海科技学院202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-202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学年学生社团年审登记表》、附件3《珠海科技学院202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-202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学年学生社团年审量化考核表》</w:t>
      </w:r>
      <w:r>
        <w:rPr>
          <w:rFonts w:hint="default" w:ascii="Times New Roman" w:hAnsi="Times New Roman" w:eastAsia="仿宋" w:cs="Times New Roman"/>
          <w:sz w:val="32"/>
          <w:szCs w:val="32"/>
        </w:rPr>
        <w:t>，打印要求均为A4纸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双</w:t>
      </w:r>
      <w:r>
        <w:rPr>
          <w:rFonts w:hint="default" w:ascii="Times New Roman" w:hAnsi="Times New Roman" w:eastAsia="仿宋" w:cs="Times New Roman"/>
          <w:sz w:val="32"/>
          <w:szCs w:val="32"/>
        </w:rPr>
        <w:t>面打印。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附件2与附件3</w:t>
      </w:r>
      <w:r>
        <w:rPr>
          <w:rFonts w:hint="default" w:ascii="Times New Roman" w:hAnsi="Times New Roman" w:eastAsia="仿宋" w:cs="Times New Roman"/>
          <w:sz w:val="32"/>
          <w:szCs w:val="32"/>
        </w:rPr>
        <w:t>由各学生社团自行打印并填写、评分，且须有指导老师签字和业务指导单位盖章；指导老师为李帆老师或业务指导单位为校团委的学生社团，纸质材料直接提交至校社联处，由校社联递交至校团委处统一进行签字与盖章。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t>附件4《珠海科技学院2024-2025学年学生社团活动一览表》、附件5《珠海科技学院2024-2025学年学生社团财务一览表》。</w:t>
      </w:r>
    </w:p>
    <w:p w14:paraId="40B0455A">
      <w:pPr>
        <w:numPr>
          <w:ilvl w:val="0"/>
          <w:numId w:val="5"/>
        </w:numPr>
        <w:spacing w:line="360" w:lineRule="auto"/>
        <w:ind w:left="1055" w:leftChars="0" w:hanging="425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电子版材料：</w:t>
      </w:r>
    </w:p>
    <w:p w14:paraId="695AB436">
      <w:pPr>
        <w:spacing w:line="360" w:lineRule="auto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佐证材料，含本学年社团重要会议记录、获奖证书（若无可不交）、新闻稿件、宣传海报样本、通知样本、活动照片等。佐证材料请参考年审量化考核表（附件3），视社团实际情况收集，并按考核要素内容进行整理和归纳。</w:t>
      </w:r>
    </w:p>
    <w:p w14:paraId="1F6773C4">
      <w:pPr>
        <w:numPr>
          <w:ilvl w:val="0"/>
          <w:numId w:val="5"/>
        </w:numPr>
        <w:spacing w:line="360" w:lineRule="auto"/>
        <w:ind w:left="1055" w:leftChars="0" w:hanging="425" w:firstLineChars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提交材料时间：</w:t>
      </w:r>
    </w:p>
    <w:p w14:paraId="3F2C2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请各学生社团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于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14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</w:rPr>
        <w:t>日-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18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17:00</w:t>
      </w:r>
      <w:r>
        <w:rPr>
          <w:rFonts w:hint="default" w:ascii="Times New Roman" w:hAnsi="Times New Roman" w:eastAsia="仿宋" w:cs="Times New Roman"/>
          <w:sz w:val="32"/>
          <w:szCs w:val="32"/>
        </w:rPr>
        <w:t>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将电子版材</w:t>
      </w:r>
      <w:r>
        <w:rPr>
          <w:rFonts w:hint="default" w:ascii="Times New Roman" w:hAnsi="Times New Roman" w:eastAsia="仿宋" w:cs="Times New Roman"/>
          <w:sz w:val="32"/>
          <w:szCs w:val="32"/>
        </w:rPr>
        <w:t>料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" w:cs="Times New Roman"/>
          <w:sz w:val="32"/>
          <w:szCs w:val="32"/>
        </w:rPr>
        <w:t>纸质版材料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上交。电子版材料</w:t>
      </w:r>
      <w:r>
        <w:rPr>
          <w:rFonts w:hint="default" w:ascii="Times New Roman" w:hAnsi="Times New Roman" w:eastAsia="仿宋" w:cs="Times New Roman"/>
          <w:sz w:val="32"/>
          <w:szCs w:val="32"/>
        </w:rPr>
        <w:t>打包压缩，命名为“社团编号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+</w:t>
      </w:r>
      <w:r>
        <w:rPr>
          <w:rFonts w:hint="default" w:ascii="Times New Roman" w:hAnsi="Times New Roman" w:eastAsia="仿宋" w:cs="Times New Roman"/>
          <w:sz w:val="32"/>
          <w:szCs w:val="32"/>
        </w:rPr>
        <w:t>xx社团年审文件”并发送至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校社联发展部专秘处</w:t>
      </w:r>
      <w:r>
        <w:rPr>
          <w:rFonts w:hint="default" w:ascii="Times New Roman" w:hAnsi="Times New Roman" w:eastAsia="仿宋" w:cs="Times New Roman"/>
          <w:sz w:val="32"/>
          <w:szCs w:val="32"/>
        </w:rPr>
        <w:t>；纸质版材料交至校社联办公室（榕一榕二连廊，工作日9:00-1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: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0，14:30-17: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sz w:val="32"/>
          <w:szCs w:val="32"/>
        </w:rPr>
        <w:t>），逾期不候。</w:t>
      </w:r>
    </w:p>
    <w:p w14:paraId="341EB20A">
      <w:pPr>
        <w:numPr>
          <w:ilvl w:val="0"/>
          <w:numId w:val="4"/>
        </w:numPr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校团委将对各学生社团提交的年审材料进行认真审核，并在30个工作日内公示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年审结果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4D0A984F">
      <w:pPr>
        <w:numPr>
          <w:ilvl w:val="0"/>
          <w:numId w:val="1"/>
        </w:numPr>
        <w:jc w:val="center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年审等级及标准</w:t>
      </w:r>
    </w:p>
    <w:p w14:paraId="49BDC6AF">
      <w:pPr>
        <w:numPr>
          <w:ilvl w:val="0"/>
          <w:numId w:val="6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学生社团年审结论分为“合格”、“不合格”。在年审中获得60分及以上的社团评为“合格”，60分以下的社团评为“不合格”。</w:t>
      </w:r>
    </w:p>
    <w:p w14:paraId="443E1CD2">
      <w:pPr>
        <w:numPr>
          <w:ilvl w:val="0"/>
          <w:numId w:val="6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学生社团有下列情形之一的年审结果确定为“不合格”：</w:t>
      </w:r>
    </w:p>
    <w:p w14:paraId="64BB04CF">
      <w:pPr>
        <w:pStyle w:val="14"/>
        <w:numPr>
          <w:ilvl w:val="0"/>
          <w:numId w:val="7"/>
        </w:numPr>
        <w:ind w:left="1055" w:leftChars="0" w:hanging="425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违反国家法律法规和校规校纪的；</w:t>
      </w:r>
    </w:p>
    <w:p w14:paraId="704A9E39">
      <w:pPr>
        <w:pStyle w:val="14"/>
        <w:numPr>
          <w:ilvl w:val="0"/>
          <w:numId w:val="7"/>
        </w:numPr>
        <w:ind w:left="1055" w:leftChars="0" w:hanging="425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一年中未开展任何活动或者违规开展活动的；</w:t>
      </w:r>
    </w:p>
    <w:p w14:paraId="3089ED17">
      <w:pPr>
        <w:pStyle w:val="14"/>
        <w:numPr>
          <w:ilvl w:val="0"/>
          <w:numId w:val="7"/>
        </w:numPr>
        <w:ind w:left="1055" w:leftChars="0" w:hanging="425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新闻舆情导向性发生重大错误的；</w:t>
      </w:r>
    </w:p>
    <w:p w14:paraId="16F26206">
      <w:pPr>
        <w:pStyle w:val="14"/>
        <w:numPr>
          <w:ilvl w:val="0"/>
          <w:numId w:val="7"/>
        </w:numPr>
        <w:ind w:left="1055" w:leftChars="0" w:hanging="425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内部机制建设混乱且管理制度存在重大缺陷的；</w:t>
      </w:r>
    </w:p>
    <w:p w14:paraId="61BB5FBF">
      <w:pPr>
        <w:pStyle w:val="14"/>
        <w:numPr>
          <w:ilvl w:val="0"/>
          <w:numId w:val="7"/>
        </w:numPr>
        <w:ind w:left="1055" w:leftChars="0" w:hanging="425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主要负责人不明确的；</w:t>
      </w:r>
    </w:p>
    <w:p w14:paraId="652627C2">
      <w:pPr>
        <w:pStyle w:val="14"/>
        <w:numPr>
          <w:ilvl w:val="0"/>
          <w:numId w:val="7"/>
        </w:numPr>
        <w:ind w:left="1055" w:leftChars="0" w:hanging="425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财务制度不健全，资金来源和使用违反有关规定的；</w:t>
      </w:r>
    </w:p>
    <w:p w14:paraId="3D98BCDD">
      <w:pPr>
        <w:pStyle w:val="14"/>
        <w:numPr>
          <w:ilvl w:val="0"/>
          <w:numId w:val="7"/>
        </w:numPr>
        <w:ind w:left="1055" w:leftChars="0" w:hanging="425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整改期间态度消极、</w:t>
      </w:r>
      <w:r>
        <w:rPr>
          <w:rFonts w:hint="eastAsia" w:ascii="仿宋" w:hAnsi="仿宋" w:eastAsia="仿宋" w:cs="仿宋"/>
          <w:sz w:val="32"/>
          <w:szCs w:val="32"/>
        </w:rPr>
        <w:t>拒不接受或不按照规定时间接受年审的；</w:t>
      </w:r>
    </w:p>
    <w:p w14:paraId="773E9A4B">
      <w:pPr>
        <w:pStyle w:val="14"/>
        <w:numPr>
          <w:ilvl w:val="0"/>
          <w:numId w:val="7"/>
        </w:numPr>
        <w:ind w:left="1055" w:leftChars="0" w:hanging="425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年审中隐瞒真实情况，弄虚作假的；</w:t>
      </w:r>
    </w:p>
    <w:p w14:paraId="2F0FE399">
      <w:pPr>
        <w:pStyle w:val="14"/>
        <w:numPr>
          <w:ilvl w:val="0"/>
          <w:numId w:val="7"/>
        </w:numPr>
        <w:ind w:left="1055" w:leftChars="0" w:hanging="425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违反其他有关规定的。</w:t>
      </w:r>
    </w:p>
    <w:p w14:paraId="365DFF7C">
      <w:pPr>
        <w:numPr>
          <w:ilvl w:val="0"/>
          <w:numId w:val="1"/>
        </w:num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年审结果的认定和处理</w:t>
      </w:r>
    </w:p>
    <w:p w14:paraId="1EB55CF3">
      <w:pPr>
        <w:numPr>
          <w:ilvl w:val="0"/>
          <w:numId w:val="8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对年审合格的学生社团进行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登记</w:t>
      </w:r>
      <w:r>
        <w:rPr>
          <w:rFonts w:hint="eastAsia" w:ascii="仿宋" w:hAnsi="仿宋" w:eastAsia="仿宋" w:cs="仿宋"/>
          <w:sz w:val="32"/>
          <w:szCs w:val="32"/>
        </w:rPr>
        <w:t>，只有进行登记的学生社团方能继续开展活动。</w:t>
      </w:r>
    </w:p>
    <w:p w14:paraId="372D03ED">
      <w:pPr>
        <w:numPr>
          <w:ilvl w:val="0"/>
          <w:numId w:val="8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对于年审分数排名前十五的学生社团，开展“十佳社团”的评选工作，成绩优异的十个学生社团将获得珠海科技学院“十佳社团”称号。</w:t>
      </w:r>
    </w:p>
    <w:p w14:paraId="3C07D439">
      <w:pPr>
        <w:numPr>
          <w:ilvl w:val="0"/>
          <w:numId w:val="8"/>
        </w:num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对于“年审不合格”的学生社团，应立即进行整改</w:t>
      </w:r>
      <w:r>
        <w:rPr>
          <w:rFonts w:hint="eastAsia" w:ascii="仿宋" w:hAnsi="仿宋" w:eastAsia="仿宋" w:cs="仿宋"/>
          <w:sz w:val="32"/>
          <w:szCs w:val="32"/>
        </w:rPr>
        <w:t>，整改期限为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两</w:t>
      </w:r>
      <w:r>
        <w:rPr>
          <w:rFonts w:hint="eastAsia" w:ascii="仿宋" w:hAnsi="仿宋" w:eastAsia="仿宋" w:cs="仿宋"/>
          <w:sz w:val="32"/>
          <w:szCs w:val="32"/>
        </w:rPr>
        <w:t>至三个月，整改期间社团不得开展除整改以外的其他活动。整改期结束，学生社团应当向校团委报送整改报告，校团委对整改结果进行评定并出具最终意见（相关文件详见附件6）。</w:t>
      </w:r>
    </w:p>
    <w:p w14:paraId="745CA4EE">
      <w:pPr>
        <w:numPr>
          <w:ilvl w:val="0"/>
          <w:numId w:val="8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对不参加年度审查的学生社团直接定为年审不合格，对连续两次不参加年审的，或连续两次经整改后仍“年审不合格”的学生社团，予以撤销登记并进行公告。</w:t>
      </w:r>
    </w:p>
    <w:p w14:paraId="14A57952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</w:rPr>
      </w:pPr>
    </w:p>
    <w:p w14:paraId="75F1E3FA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</w:rPr>
      </w:pPr>
    </w:p>
    <w:p w14:paraId="2092EE20">
      <w:pPr>
        <w:numPr>
          <w:ilvl w:val="0"/>
          <w:numId w:val="9"/>
        </w:num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 则</w:t>
      </w:r>
    </w:p>
    <w:p w14:paraId="0328E32B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接受年度审查是学生社团应尽的义务，也是保障学生合法权益的主要途径，各学生社团必须依照相关规定，严格按照年审时间、内容和提交材料等事项的要求，认真履行接受年度审查的职责，如实填报和提交有关年度审查的材料，其他相关单位也要积极给予支持，配合学生社团，做好年审工作。</w:t>
      </w:r>
    </w:p>
    <w:p w14:paraId="5EEAEB4C">
      <w:pPr>
        <w:rPr>
          <w:rFonts w:hint="default" w:ascii="Times New Roman" w:hAnsi="Times New Roman" w:eastAsia="仿宋" w:cs="Times New Roman"/>
          <w:sz w:val="32"/>
          <w:szCs w:val="32"/>
        </w:rPr>
      </w:pPr>
    </w:p>
    <w:p w14:paraId="0FBBBA71">
      <w:pPr>
        <w:rPr>
          <w:rFonts w:hint="default" w:ascii="Times New Roman" w:hAnsi="Times New Roman" w:eastAsia="仿宋" w:cs="Times New Roman"/>
          <w:sz w:val="32"/>
          <w:szCs w:val="32"/>
        </w:rPr>
      </w:pPr>
    </w:p>
    <w:p w14:paraId="22A03A9A">
      <w:pPr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本制度最终解释权归共青团珠海科技学院委员会所有。</w:t>
      </w:r>
    </w:p>
    <w:p w14:paraId="3892A89F">
      <w:pPr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本制度自发布之日起实施。</w:t>
      </w:r>
    </w:p>
    <w:p w14:paraId="12631865">
      <w:pPr>
        <w:pStyle w:val="5"/>
        <w:widowControl/>
        <w:shd w:val="clear" w:color="auto" w:fill="FFFFFF"/>
        <w:spacing w:beforeAutospacing="0" w:afterAutospacing="0"/>
        <w:jc w:val="both"/>
        <w:rPr>
          <w:rFonts w:hint="default" w:ascii="Times New Roman" w:hAnsi="Times New Roman" w:eastAsia="仿宋" w:cs="Times New Roman"/>
          <w:sz w:val="32"/>
          <w:szCs w:val="32"/>
        </w:rPr>
      </w:pPr>
    </w:p>
    <w:p w14:paraId="2AEAA32D">
      <w:pPr>
        <w:rPr>
          <w:rFonts w:hint="default" w:ascii="Times New Roman" w:hAnsi="Times New Roman" w:eastAsia="仿宋" w:cs="Times New Roman"/>
          <w:sz w:val="32"/>
          <w:szCs w:val="32"/>
        </w:rPr>
      </w:pPr>
    </w:p>
    <w:p w14:paraId="4F485F35">
      <w:pPr>
        <w:jc w:val="righ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共青团珠海科技学院委员会</w:t>
      </w:r>
    </w:p>
    <w:p w14:paraId="09451C4D">
      <w:pPr>
        <w:jc w:val="right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0BC0032-2CB8-45FB-944F-915CE186306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D93F2BC-2964-4FE7-8038-7EB2E1016326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504A4F11-77C8-469F-94DD-FA083A01047C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9961D8D-D641-4A6E-8711-FD287470145E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E61B3246-7D0C-42E5-9027-DBFA1B05CA9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E8F1F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BC8B5A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BC8B5A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A12FBC"/>
    <w:multiLevelType w:val="singleLevel"/>
    <w:tmpl w:val="A0A12FB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</w:rPr>
    </w:lvl>
  </w:abstractNum>
  <w:abstractNum w:abstractNumId="1">
    <w:nsid w:val="CB82CD40"/>
    <w:multiLevelType w:val="singleLevel"/>
    <w:tmpl w:val="CB82CD40"/>
    <w:lvl w:ilvl="0" w:tentative="0">
      <w:start w:val="6"/>
      <w:numFmt w:val="chineseCounting"/>
      <w:suff w:val="nothing"/>
      <w:lvlText w:val="%1、"/>
      <w:lvlJc w:val="left"/>
      <w:pPr>
        <w:ind w:left="0" w:firstLine="420"/>
      </w:pPr>
      <w:rPr>
        <w:rFonts w:hint="eastAsia" w:ascii="方正黑体_GBK" w:hAnsi="方正黑体_GBK" w:eastAsia="方正黑体_GBK" w:cs="方正黑体_GBK"/>
        <w:b w:val="0"/>
        <w:bCs w:val="0"/>
      </w:rPr>
    </w:lvl>
  </w:abstractNum>
  <w:abstractNum w:abstractNumId="2">
    <w:nsid w:val="CE8F5BF2"/>
    <w:multiLevelType w:val="singleLevel"/>
    <w:tmpl w:val="CE8F5BF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</w:rPr>
    </w:lvl>
  </w:abstractNum>
  <w:abstractNum w:abstractNumId="3">
    <w:nsid w:val="CFE51F07"/>
    <w:multiLevelType w:val="singleLevel"/>
    <w:tmpl w:val="CFE51F07"/>
    <w:lvl w:ilvl="0" w:tentative="0">
      <w:start w:val="1"/>
      <w:numFmt w:val="decimal"/>
      <w:lvlText w:val="%1."/>
      <w:lvlJc w:val="left"/>
      <w:pPr>
        <w:ind w:left="1055" w:hanging="425"/>
      </w:pPr>
      <w:rPr>
        <w:rFonts w:hint="default"/>
      </w:rPr>
    </w:lvl>
  </w:abstractNum>
  <w:abstractNum w:abstractNumId="4">
    <w:nsid w:val="D79DF5DB"/>
    <w:multiLevelType w:val="singleLevel"/>
    <w:tmpl w:val="D79DF5DB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</w:rPr>
    </w:lvl>
  </w:abstractNum>
  <w:abstractNum w:abstractNumId="5">
    <w:nsid w:val="FDC983DE"/>
    <w:multiLevelType w:val="singleLevel"/>
    <w:tmpl w:val="FDC983D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6">
    <w:nsid w:val="1F3E62A4"/>
    <w:multiLevelType w:val="singleLevel"/>
    <w:tmpl w:val="1F3E62A4"/>
    <w:lvl w:ilvl="0" w:tentative="0">
      <w:start w:val="1"/>
      <w:numFmt w:val="chineseCounting"/>
      <w:suff w:val="nothing"/>
      <w:lvlText w:val="（%1）"/>
      <w:lvlJc w:val="left"/>
      <w:pPr>
        <w:ind w:left="5" w:firstLine="420"/>
      </w:pPr>
      <w:rPr>
        <w:rFonts w:hint="eastAsia" w:ascii="仿宋_GB2312" w:hAnsi="仿宋_GB2312" w:eastAsia="仿宋_GB2312" w:cs="仿宋_GB2312"/>
      </w:rPr>
    </w:lvl>
  </w:abstractNum>
  <w:abstractNum w:abstractNumId="7">
    <w:nsid w:val="7284C55E"/>
    <w:multiLevelType w:val="singleLevel"/>
    <w:tmpl w:val="7284C55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</w:rPr>
    </w:lvl>
  </w:abstractNum>
  <w:abstractNum w:abstractNumId="8">
    <w:nsid w:val="774E4EF0"/>
    <w:multiLevelType w:val="singleLevel"/>
    <w:tmpl w:val="774E4EF0"/>
    <w:lvl w:ilvl="0" w:tentative="0">
      <w:start w:val="1"/>
      <w:numFmt w:val="decimal"/>
      <w:lvlText w:val="%1."/>
      <w:lvlJc w:val="left"/>
      <w:pPr>
        <w:ind w:left="1055" w:hanging="425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3NGFhOGYyOGI2MjFmM2Q3NjE0OGM3Yjc3MWI5ZWIifQ=="/>
  </w:docVars>
  <w:rsids>
    <w:rsidRoot w:val="00CA50C3"/>
    <w:rsid w:val="00102A5D"/>
    <w:rsid w:val="00192954"/>
    <w:rsid w:val="002C72C3"/>
    <w:rsid w:val="002D5EA2"/>
    <w:rsid w:val="00360A5E"/>
    <w:rsid w:val="00365447"/>
    <w:rsid w:val="003E03CE"/>
    <w:rsid w:val="00476831"/>
    <w:rsid w:val="004A3705"/>
    <w:rsid w:val="004A3D49"/>
    <w:rsid w:val="005D310A"/>
    <w:rsid w:val="00656A96"/>
    <w:rsid w:val="006717C5"/>
    <w:rsid w:val="006B7AE0"/>
    <w:rsid w:val="006F3FC8"/>
    <w:rsid w:val="007647DA"/>
    <w:rsid w:val="007B12B7"/>
    <w:rsid w:val="007F2F23"/>
    <w:rsid w:val="0082542F"/>
    <w:rsid w:val="00825F7C"/>
    <w:rsid w:val="008D7E93"/>
    <w:rsid w:val="009628F8"/>
    <w:rsid w:val="00A933F1"/>
    <w:rsid w:val="00AA5345"/>
    <w:rsid w:val="00B27741"/>
    <w:rsid w:val="00BA186E"/>
    <w:rsid w:val="00C27E3A"/>
    <w:rsid w:val="00C84BD1"/>
    <w:rsid w:val="00CA50C3"/>
    <w:rsid w:val="00CB6200"/>
    <w:rsid w:val="00CD1BF5"/>
    <w:rsid w:val="00D10557"/>
    <w:rsid w:val="00F27FA4"/>
    <w:rsid w:val="00F34ACC"/>
    <w:rsid w:val="03592B51"/>
    <w:rsid w:val="04587485"/>
    <w:rsid w:val="06185FD1"/>
    <w:rsid w:val="069E54A4"/>
    <w:rsid w:val="09CA2A2E"/>
    <w:rsid w:val="0DC802B7"/>
    <w:rsid w:val="12665599"/>
    <w:rsid w:val="1292339A"/>
    <w:rsid w:val="13035C91"/>
    <w:rsid w:val="1657051A"/>
    <w:rsid w:val="18561DEE"/>
    <w:rsid w:val="1D636897"/>
    <w:rsid w:val="1D6628F1"/>
    <w:rsid w:val="1E4B0C15"/>
    <w:rsid w:val="20E11A4E"/>
    <w:rsid w:val="27D17500"/>
    <w:rsid w:val="28BA1D43"/>
    <w:rsid w:val="2D067C4C"/>
    <w:rsid w:val="2E5442E3"/>
    <w:rsid w:val="30BA658D"/>
    <w:rsid w:val="35A3072E"/>
    <w:rsid w:val="38752FDA"/>
    <w:rsid w:val="39900AFD"/>
    <w:rsid w:val="39F500B0"/>
    <w:rsid w:val="3EE13B39"/>
    <w:rsid w:val="42A11715"/>
    <w:rsid w:val="46995A89"/>
    <w:rsid w:val="46FD404E"/>
    <w:rsid w:val="49C3235E"/>
    <w:rsid w:val="4B6B53C9"/>
    <w:rsid w:val="4F1A43C6"/>
    <w:rsid w:val="4FA45AD2"/>
    <w:rsid w:val="51B23ACA"/>
    <w:rsid w:val="57754F14"/>
    <w:rsid w:val="5BE663CF"/>
    <w:rsid w:val="5BF06EFD"/>
    <w:rsid w:val="5C930660"/>
    <w:rsid w:val="62983BB0"/>
    <w:rsid w:val="66233F8F"/>
    <w:rsid w:val="677A270F"/>
    <w:rsid w:val="68522367"/>
    <w:rsid w:val="6C7E6354"/>
    <w:rsid w:val="6ED053E9"/>
    <w:rsid w:val="70B2124A"/>
    <w:rsid w:val="71B45526"/>
    <w:rsid w:val="780636DD"/>
    <w:rsid w:val="7C226173"/>
    <w:rsid w:val="7CD04437"/>
    <w:rsid w:val="7D212890"/>
    <w:rsid w:val="7DFB2D34"/>
    <w:rsid w:val="7E12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autoRedefine/>
    <w:qFormat/>
    <w:uiPriority w:val="0"/>
    <w:pPr>
      <w:ind w:left="100" w:leftChars="2500"/>
    </w:p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0"/>
    <w:rPr>
      <w:kern w:val="2"/>
      <w:sz w:val="18"/>
      <w:szCs w:val="18"/>
    </w:rPr>
  </w:style>
  <w:style w:type="paragraph" w:customStyle="1" w:styleId="11">
    <w:name w:val="列表段落1"/>
    <w:basedOn w:val="1"/>
    <w:autoRedefine/>
    <w:qFormat/>
    <w:uiPriority w:val="99"/>
    <w:pPr>
      <w:ind w:firstLine="420" w:firstLineChars="200"/>
    </w:pPr>
  </w:style>
  <w:style w:type="paragraph" w:customStyle="1" w:styleId="12">
    <w:name w:val="列表段落2"/>
    <w:basedOn w:val="1"/>
    <w:autoRedefine/>
    <w:qFormat/>
    <w:uiPriority w:val="99"/>
    <w:pPr>
      <w:ind w:firstLine="420" w:firstLineChars="200"/>
    </w:pPr>
  </w:style>
  <w:style w:type="character" w:customStyle="1" w:styleId="13">
    <w:name w:val="日期 字符"/>
    <w:basedOn w:val="8"/>
    <w:link w:val="2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14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1729</Words>
  <Characters>1806</Characters>
  <Lines>13</Lines>
  <Paragraphs>3</Paragraphs>
  <TotalTime>22</TotalTime>
  <ScaleCrop>false</ScaleCrop>
  <LinksUpToDate>false</LinksUpToDate>
  <CharactersWithSpaces>1808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2021-09-22T11:11:00Z</dcterms:created>
  <dc:creator>黄婉玫</dc:creator>
  <cp:lastModifiedBy>W</cp:lastModifiedBy>
  <cp:lastPrinted>2021-12-23T07:44:00Z</cp:lastPrinted>
  <dcterms:modified xsi:type="dcterms:W3CDTF">2025-04-01T03:01:19Z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6FE34C31C74D4A5492BBF338F4EEE7A1_13</vt:lpwstr>
  </property>
  <property fmtid="{D5CDD505-2E9C-101B-9397-08002B2CF9AE}" pid="4" name="KSOTemplateDocerSaveRecord">
    <vt:lpwstr>eyJoZGlkIjoiYjVhNTVmNWRkYjlhZWM1NjM0NGE5ZWIwOWIyNzdmZmMiLCJ1c2VySWQiOiI3MzU4Njc4MjMifQ==</vt:lpwstr>
  </property>
</Properties>
</file>