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D28AD">
      <w:pPr>
        <w:rPr>
          <w:rFonts w:hint="default" w:ascii="Times New Roman" w:hAnsi="Times New Roman" w:eastAsia="仿宋" w:cs="Times New Roman"/>
          <w:spacing w:val="-7"/>
          <w:sz w:val="30"/>
          <w:szCs w:val="30"/>
          <w:lang w:eastAsia="zh-CN"/>
        </w:rPr>
      </w:pPr>
      <w:r>
        <w:rPr>
          <w:rFonts w:hint="default" w:ascii="Times New Roman" w:hAnsi="Times New Roman" w:eastAsia="仿宋" w:cs="Times New Roman"/>
          <w:spacing w:val="-7"/>
          <w:sz w:val="30"/>
          <w:szCs w:val="30"/>
          <w:lang w:eastAsia="zh-CN"/>
        </w:rPr>
        <w:t>附件 3</w:t>
      </w:r>
    </w:p>
    <w:p w14:paraId="588C1723">
      <w:pPr>
        <w:spacing w:line="360" w:lineRule="auto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pacing w:val="-7"/>
          <w:sz w:val="34"/>
          <w:szCs w:val="3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34"/>
          <w:szCs w:val="34"/>
          <w:lang w:eastAsia="zh-CN"/>
        </w:rPr>
        <w:t>珠海科技学院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7"/>
          <w:sz w:val="34"/>
          <w:szCs w:val="34"/>
          <w:lang w:eastAsia="zh-CN"/>
        </w:rPr>
        <w:t xml:space="preserve"> 202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7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7"/>
          <w:sz w:val="34"/>
          <w:szCs w:val="34"/>
          <w:lang w:eastAsia="zh-CN"/>
        </w:rPr>
        <w:t>-202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7"/>
          <w:sz w:val="34"/>
          <w:szCs w:val="3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7"/>
          <w:sz w:val="34"/>
          <w:szCs w:val="34"/>
          <w:lang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34"/>
          <w:szCs w:val="34"/>
          <w:lang w:eastAsia="zh-CN"/>
        </w:rPr>
        <w:t>学年学生社团年审量化考核表</w:t>
      </w:r>
    </w:p>
    <w:p w14:paraId="5ADAD26C">
      <w:pP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协会编号：      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协会名称：                            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自评人：     </w:t>
      </w:r>
      <w: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职务：      </w:t>
      </w:r>
      <w: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      </w:t>
      </w:r>
      <w:r>
        <w:rPr>
          <w:rFonts w:hint="eastAsia"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>联系方式：</w:t>
      </w:r>
      <w: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               </w:t>
      </w:r>
    </w:p>
    <w:tbl>
      <w:tblPr>
        <w:tblStyle w:val="2"/>
        <w:tblW w:w="157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2445"/>
        <w:gridCol w:w="9240"/>
        <w:gridCol w:w="710"/>
        <w:gridCol w:w="774"/>
        <w:gridCol w:w="760"/>
      </w:tblGrid>
      <w:tr w14:paraId="25219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45461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考评内容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B86A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考评要素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7A755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考核内容说明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FCBF3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</w:rPr>
            </w:pPr>
            <w:r>
              <w:rPr>
                <w:rStyle w:val="8"/>
                <w:rFonts w:hint="default" w:ascii="Times New Roman" w:hAnsi="Times New Roman" w:cs="Times New Roman" w:eastAsiaTheme="minorEastAsia"/>
                <w:lang w:eastAsia="zh-CN" w:bidi="ar"/>
              </w:rPr>
              <w:t>分值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7847F3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自评分</w:t>
            </w: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F30B3C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核准分</w:t>
            </w:r>
          </w:p>
        </w:tc>
      </w:tr>
      <w:tr w14:paraId="1775C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E9425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1.组织建设（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30</w:t>
            </w:r>
            <w:r>
              <w:rPr>
                <w:rStyle w:val="7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分）</w:t>
            </w: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1A72F5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1.1</w:t>
            </w:r>
            <w:r>
              <w:rPr>
                <w:rStyle w:val="10"/>
                <w:rFonts w:hint="default" w:ascii="Times New Roman" w:hAnsi="Times New Roman" w:cs="Times New Roman" w:eastAsiaTheme="minorEastAsia"/>
                <w:lang w:eastAsia="zh-CN" w:bidi="ar"/>
              </w:rPr>
              <w:t xml:space="preserve">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章程制度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4FA06">
            <w:pPr>
              <w:textAlignment w:val="center"/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 xml:space="preserve">1.1.1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协会有规范的章程和明确的运行机制，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得2分。</w:t>
            </w:r>
          </w:p>
          <w:p w14:paraId="2085F780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1.1.2 协会负责人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按届更换，且品学兼优无违反校规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校纪，得3分。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C110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18BC81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09404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62967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9E4ADF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FB09F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1.2 协会内部考评机制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E4EEB">
            <w:pPr>
              <w:textAlignment w:val="center"/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1.2.1 本年度社团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纳新工作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严格遵循校社联的统一部署与工作安排，且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按时按规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开展并完成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得2分。</w:t>
            </w:r>
          </w:p>
          <w:p w14:paraId="1118CAB9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eastAsia="zh-CN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1.2.2 建立规范化的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协会内部考评及选拔机制，定期开展协会成员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绩效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考核，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D2FEA3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42942C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8AB32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4AD90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FB3F8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AF7293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1.3 协会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成员及会员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制度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F91709">
            <w:pPr>
              <w:spacing w:line="240" w:lineRule="auto"/>
              <w:textAlignment w:val="center"/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1.3.1 招纳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成员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且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协会成员（干事及以上级别）人数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不少于20人，得3分。</w:t>
            </w:r>
          </w:p>
          <w:p w14:paraId="20AFBC28">
            <w:pPr>
              <w:spacing w:line="240" w:lineRule="auto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1.3.2 招纳协会会员，并建立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相关会员制度，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明确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区分会员与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成员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定期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开展会员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专属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活动，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切实保障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会员权益，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得2分。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8C90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A76BB1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C08D3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09D24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D5ABE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BD839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4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 xml:space="preserve">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成立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功能型团支部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8C33D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1.4.1 协会按规范设立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功能型团支部，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严格遵循流程及要求完成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团支部换届工作，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确保组织架构与运作流程合规有序，得3分。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3FED9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BEDC9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048D7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5B2E7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14320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25A04C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5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 xml:space="preserve"> “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百千万工程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”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开展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情况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57A25"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 xml:space="preserve">1.5.1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协会完成“百千万工程”突击队注册，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得1分。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（需提供佐证材料）</w:t>
            </w:r>
          </w:p>
          <w:p w14:paraId="21FB5C21">
            <w:pP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1.5.2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积极参与“百千万工程”志愿活动等，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得2分。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（需提供佐证材料，如照片等）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3B747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EE0B3F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C329C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</w:tr>
      <w:tr w14:paraId="4C22C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59DB44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909DAC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 xml:space="preserve">1.6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指导老师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交流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BB445">
            <w:pP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 xml:space="preserve">1.6.1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/>
              </w:rPr>
              <w:t>协会与指导老师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建立常态化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/>
              </w:rPr>
              <w:t>沟通交流，定期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/>
              </w:rPr>
              <w:t>指导协会工作，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确保发展方向规范有序，得2分。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E07E2D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407D4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FB24E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</w:tr>
      <w:tr w14:paraId="44869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10BD4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5F4D1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en-US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7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 xml:space="preserve"> 协会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全体成员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会议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73A391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 xml:space="preserve">1.7.1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协会每学期至少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召开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1次大型会议，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按次数每次得1分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2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分封顶。（需提供会议记录等证明材料）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59D18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2DA76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06800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78330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24837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DDB3C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en-US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1.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 xml:space="preserve">8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部门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会议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65522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 xml:space="preserve">1.8.1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协会每学期至少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召开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1次由副部长及以上成员参与的会议，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按次数每次得1分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4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eastAsia="zh-CN" w:bidi="ar"/>
              </w:rPr>
              <w:t>分封顶。（需提供会议记录等证明材料）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E797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F34C6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87FF3C">
            <w:pPr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</w:tr>
      <w:tr w14:paraId="44F02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18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02B2D0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2.活动情况（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val="en-US" w:eastAsia="zh-CN" w:bidi="ar"/>
              </w:rPr>
              <w:t>45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分）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26BDE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2.1 日常活动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66B388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2.1.1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举办符合协会宗旨、性质的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常规性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活动（会议除外），遵照规定及流程提交相关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的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材料，按次数每次得5分，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分封顶。（需提供活动申报表及登记表 、策划案或校社联监察部出具有关活动监察表等证明材料）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52A48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2B7EA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4159EF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</w:tr>
      <w:tr w14:paraId="27EA9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C89A3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58A07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2.2 特色活动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48D7F9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2.2.1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举办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拥有显著专业特色且具有教育意义的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活动，遵照规定及流程提交相关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的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材料，按次数每次得5分，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分封顶（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与下述2.2.2共同构成该项评分要素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）。（需提供活动申报表及登记表 、策划案或校社联监察部出具有关活动监察表等证明材料）</w:t>
            </w:r>
          </w:p>
          <w:p w14:paraId="3BA4D19D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yellow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2.2.2 协会组织参与彰显协会专业特色的相关赛事，遵照规定及流程提交相关的材料，按次数每次得5分，10分封顶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与上述2.2.1共同构成该项评分要素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）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。（需提供活动申报表及登记表 、策划案或校社联监察部出具有关活动监察表等证明材料）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9447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0064A4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A3259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</w:tr>
      <w:tr w14:paraId="15DAA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5CA27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44A79">
            <w:pPr>
              <w:spacing w:line="240" w:lineRule="auto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 xml:space="preserve">.3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校园文化参与及贡献情况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23252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 xml:space="preserve">2.3.1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协会每学年至少在校内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开展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1次户外素拓活动，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得2分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。（需提供佐证材料，如照片、新闻稿、推送等）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4D1AFF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2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8B950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57697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</w:tr>
      <w:tr w14:paraId="11A20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AD24C2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7A10F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2.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 xml:space="preserve"> 校团委活动配合度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BF08EB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2.4.1 协会响应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校团委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号召，积极参与相关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活动（如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社团缤纷Show、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中华优秀传统文化节等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活动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），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highlight w:val="none"/>
                <w:lang w:val="en-US" w:eastAsia="zh-CN" w:bidi="ar"/>
              </w:rPr>
              <w:t>按次数每次得2分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6分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封顶。（需提供参与活动的证明材料）</w:t>
            </w:r>
          </w:p>
          <w:p w14:paraId="54AC0CF7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2.4.2 协会协助推进活动专项任务、于活动期间参演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节目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等，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highlight w:val="none"/>
                <w:lang w:val="en-US" w:eastAsia="zh-CN" w:bidi="ar"/>
              </w:rPr>
              <w:t>按次数每次得1分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，4分封顶。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（需提供</w:t>
            </w:r>
            <w:r>
              <w:rPr>
                <w:rFonts w:hint="eastAsia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相关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证明材料）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666C8C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47521C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92AE2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</w:tr>
      <w:tr w14:paraId="6E0F6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424E9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68A69">
            <w:pPr>
              <w:jc w:val="both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2.5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 xml:space="preserve"> 获奖情况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DBD0B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 xml:space="preserve">2.5.1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以协会名义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参加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比赛并获得国家级奖项及以上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4分，市级奖项及以上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2分，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校级奖项及以上得1分，参加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其他团体组织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获得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奖项（如“50万+”、“活力在基层”、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优秀社团、活力社团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评比等）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2分，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封顶。（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需提供证书、奖状等证明材料）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DA3A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FB231">
            <w:pP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0E36E">
            <w:pP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2657D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4313D">
            <w:pPr>
              <w:jc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C55C12">
            <w:pPr>
              <w:jc w:val="both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 xml:space="preserve"> 珠科青年投稿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C3161A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 xml:space="preserve">2.6.1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协会积极向“珠科青年”公众号投稿，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按次数每次得0.5分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1分封顶。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（需提供佐证材料）</w:t>
            </w:r>
          </w:p>
          <w:p w14:paraId="131D3ED2">
            <w:pPr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2.6.2 协会向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“珠科青年”公众号投稿成功并发表在“珠科青年”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按次数每次得1分，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2分封顶。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（需提供佐证材料）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DDE6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napToGrid w:val="0"/>
                <w:color w:val="333333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4EE56">
            <w:pP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5F137">
            <w:pPr>
              <w:rPr>
                <w:rFonts w:hint="default" w:ascii="Times New Roman" w:hAnsi="Times New Roman" w:cs="Times New Roman" w:eastAsiaTheme="minorEastAsia"/>
                <w:snapToGrid w:val="0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14:paraId="1EC3B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A1683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0B513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2.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 xml:space="preserve"> 活动汇总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809706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2.7.1 协会按规定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提交学年活动一览表(附件4），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得2分。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6F69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FF905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541AD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</w:tr>
      <w:tr w14:paraId="3CF23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B5DF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3.工作纪律（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分）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087E20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3.1 参会情况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CEAD7D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 xml:space="preserve">3.1.1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主席团成员按时参加校团委组织开展的会议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，得3分。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CB807C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E1B67E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742AC3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</w:tr>
      <w:tr w14:paraId="35952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AD203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BD9E1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3.2 协会资料上交情况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BCC2D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3.2.1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按要求报送相关材料，整理规范，上交及时，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且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命名格式无误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，得3分。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855B18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C693E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D4334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</w:tr>
      <w:tr w14:paraId="46FB5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AB631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81A9D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3.3 与校社联工作配合度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C759FD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3.3.1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及时回复并落实校社联发布的通知及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传达的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消息，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12C7E6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B0D70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20E484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</w:tr>
      <w:tr w14:paraId="60517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C16115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141378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3.4 日常工作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3C9A6B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3.4.1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服从校团委的管理及统筹，积极主动配合校社联工作，遵守学生社团管理相关规定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，得3分。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74D10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64918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79C86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</w:tr>
      <w:tr w14:paraId="17B47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59A28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F81809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3.5 宣传质量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9AF3C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3.5.1 协会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严格落实“ 三校三审 ”制度，制作的海报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推送的宣传内容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等，需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及时报送指导单位审核，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符合相关规定与流程，得3分。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913DE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2B68F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E8413C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</w:p>
        </w:tc>
      </w:tr>
      <w:tr w14:paraId="44E25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0215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4.财务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val="en-US" w:eastAsia="zh-CN" w:bidi="ar"/>
              </w:rPr>
              <w:t>情况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（10分）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F9DB47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4.1 协会报销资料复核</w:t>
            </w:r>
          </w:p>
        </w:tc>
        <w:tc>
          <w:tcPr>
            <w:tcW w:w="9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4DC07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 xml:space="preserve">4.1.1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根据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报销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eastAsia="zh-CN" w:bidi="ar"/>
              </w:rPr>
              <w:t>登记情况，协会本学年的活动报销符合校社联报销规定（流程规范、 资料齐全），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highlight w:val="none"/>
                <w:lang w:val="en-US" w:eastAsia="zh-CN" w:bidi="ar"/>
              </w:rPr>
              <w:t>得5分。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B836E1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47F337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5B7EB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4CDAF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86B0B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05918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4.2 财务汇总</w:t>
            </w:r>
          </w:p>
        </w:tc>
        <w:tc>
          <w:tcPr>
            <w:tcW w:w="9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5D49E">
            <w:pPr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4.2.1 协会按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要求提交学年财务一览表（附件5），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得5分。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C6815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30DC5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8029F"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2EDDC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F4D222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.扣分项</w:t>
            </w:r>
          </w:p>
        </w:tc>
        <w:tc>
          <w:tcPr>
            <w:tcW w:w="116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E420C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.1 协会行为违反国家法律法规、校规校纪及学生社团管理规定，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按次数每次扣10分。</w:t>
            </w:r>
          </w:p>
        </w:tc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92219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-10/次</w:t>
            </w:r>
          </w:p>
        </w:tc>
        <w:tc>
          <w:tcPr>
            <w:tcW w:w="7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76626">
            <w:pPr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8DA86E">
            <w:pPr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3721E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BA540B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16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5D327A">
            <w:pPr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.2 欺瞒校团委或指导单位的行为（如未经批准私自开展活动等），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lang w:val="en-US" w:eastAsia="zh-CN" w:bidi="ar"/>
              </w:rPr>
              <w:t>按次数每次扣5分。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644C4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333333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 w:bidi="ar"/>
              </w:rPr>
              <w:t>-5/次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72FB4A">
            <w:pPr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91926">
            <w:pPr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0F903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3530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EB856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333333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最终得分</w:t>
            </w:r>
          </w:p>
        </w:tc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BC294D">
            <w:pPr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lang w:eastAsia="zh-CN" w:bidi="ar"/>
              </w:rPr>
              <w:t>0</w:t>
            </w:r>
          </w:p>
        </w:tc>
        <w:tc>
          <w:tcPr>
            <w:tcW w:w="77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71615C">
            <w:pPr>
              <w:jc w:val="both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7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A35F4">
            <w:pP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</w:p>
        </w:tc>
      </w:tr>
    </w:tbl>
    <w:p w14:paraId="7FBB1F3C">
      <w:pPr>
        <w:spacing w:line="240" w:lineRule="auto"/>
        <w:jc w:val="both"/>
        <w:rPr>
          <w:rFonts w:hint="eastAsia" w:ascii="微软雅黑" w:hAnsi="微软雅黑" w:eastAsia="微软雅黑" w:cs="微软雅黑"/>
          <w:b w:val="0"/>
          <w:bCs w:val="0"/>
          <w:spacing w:val="-7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pacing w:val="-7"/>
          <w:sz w:val="20"/>
          <w:szCs w:val="20"/>
          <w:lang w:val="en-US" w:eastAsia="zh-CN"/>
        </w:rPr>
        <w:t>注：1.需提交佐证材料的分值项已在考核内容说明标注，若无标注则无需佐证材料；</w:t>
      </w:r>
    </w:p>
    <w:p w14:paraId="6C00B808">
      <w:pPr>
        <w:spacing w:line="240" w:lineRule="auto"/>
        <w:ind w:firstLine="372" w:firstLineChars="200"/>
        <w:jc w:val="both"/>
        <w:rPr>
          <w:rFonts w:hint="default" w:ascii="微软雅黑" w:hAnsi="微软雅黑" w:eastAsia="微软雅黑" w:cs="微软雅黑"/>
          <w:b w:val="0"/>
          <w:bCs w:val="0"/>
          <w:spacing w:val="-7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pacing w:val="-7"/>
          <w:sz w:val="20"/>
          <w:szCs w:val="20"/>
          <w:lang w:val="en-US" w:eastAsia="zh-CN"/>
        </w:rPr>
        <w:t>2.此表须使用A4纸双面打印。</w:t>
      </w:r>
    </w:p>
    <w:p w14:paraId="6FB73EAB">
      <w:pPr>
        <w:spacing w:line="360" w:lineRule="auto"/>
        <w:jc w:val="both"/>
        <w:rPr>
          <w:rFonts w:hint="default" w:ascii="微软雅黑" w:hAnsi="微软雅黑" w:eastAsia="微软雅黑" w:cs="微软雅黑"/>
          <w:b w:val="0"/>
          <w:bCs w:val="0"/>
          <w:spacing w:val="-7"/>
          <w:sz w:val="20"/>
          <w:szCs w:val="20"/>
          <w:lang w:val="en-US" w:eastAsia="zh-CN"/>
        </w:rPr>
      </w:pPr>
    </w:p>
    <w:p w14:paraId="4ACB30CB">
      <w:pPr>
        <w:spacing w:line="360" w:lineRule="auto"/>
        <w:jc w:val="both"/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7"/>
          <w:sz w:val="24"/>
          <w:szCs w:val="24"/>
          <w:lang w:eastAsia="zh-CN"/>
        </w:rPr>
        <w:t>指导老师意见（</w:t>
      </w:r>
      <w:r>
        <w:rPr>
          <w:rFonts w:hint="eastAsia" w:ascii="仿宋" w:hAnsi="仿宋" w:eastAsia="仿宋" w:cs="仿宋"/>
          <w:b/>
          <w:bCs/>
          <w:spacing w:val="-7"/>
          <w:sz w:val="24"/>
          <w:szCs w:val="24"/>
          <w:lang w:val="en-US" w:eastAsia="zh-CN"/>
        </w:rPr>
        <w:t>签名</w:t>
      </w:r>
      <w:r>
        <w:rPr>
          <w:rFonts w:hint="eastAsia" w:ascii="仿宋" w:hAnsi="仿宋" w:eastAsia="仿宋" w:cs="仿宋"/>
          <w:b/>
          <w:bCs/>
          <w:spacing w:val="-7"/>
          <w:sz w:val="24"/>
          <w:szCs w:val="24"/>
          <w:lang w:eastAsia="zh-CN"/>
        </w:rPr>
        <w:t>）：</w:t>
      </w:r>
      <w:r>
        <w:rPr>
          <w:rFonts w:ascii="微软雅黑" w:hAnsi="微软雅黑" w:eastAsia="微软雅黑" w:cs="微软雅黑"/>
          <w:b/>
          <w:bCs/>
          <w:spacing w:val="-7"/>
          <w:sz w:val="24"/>
          <w:szCs w:val="24"/>
          <w:lang w:eastAsia="zh-CN"/>
        </w:rPr>
        <w:t xml:space="preserve">                                                   </w:t>
      </w:r>
      <w:r>
        <w:rPr>
          <w:rFonts w:hint="eastAsia" w:ascii="仿宋" w:hAnsi="仿宋" w:eastAsia="仿宋" w:cs="仿宋"/>
          <w:b/>
          <w:bCs/>
          <w:spacing w:val="-7"/>
          <w:sz w:val="24"/>
          <w:szCs w:val="24"/>
          <w:lang w:val="en-US" w:eastAsia="zh-CN"/>
        </w:rPr>
        <w:t>归口</w:t>
      </w:r>
      <w:r>
        <w:rPr>
          <w:rFonts w:hint="eastAsia" w:ascii="仿宋" w:hAnsi="仿宋" w:eastAsia="仿宋" w:cs="仿宋"/>
          <w:b/>
          <w:bCs/>
          <w:spacing w:val="-7"/>
          <w:sz w:val="24"/>
          <w:szCs w:val="24"/>
          <w:lang w:eastAsia="zh-CN"/>
        </w:rPr>
        <w:t>单位意见（盖章）：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1" w:fontKey="{949E0AC3-293F-498C-BD90-DD565BF8312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8F700BC-7B46-4220-B720-83238765F9A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7853F754-E1CB-4EFB-ACF0-168DAC971C9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NGFhOGYyOGI2MjFmM2Q3NjE0OGM3Yjc3MWI5ZWIifQ=="/>
  </w:docVars>
  <w:rsids>
    <w:rsidRoot w:val="00000000"/>
    <w:rsid w:val="07B05960"/>
    <w:rsid w:val="07F82BE5"/>
    <w:rsid w:val="0A5C1147"/>
    <w:rsid w:val="0B4F3710"/>
    <w:rsid w:val="0BB30CA7"/>
    <w:rsid w:val="0EBE5BF5"/>
    <w:rsid w:val="0EFB25CD"/>
    <w:rsid w:val="12C50258"/>
    <w:rsid w:val="15155714"/>
    <w:rsid w:val="15602773"/>
    <w:rsid w:val="1B7F4E10"/>
    <w:rsid w:val="1BB57C9A"/>
    <w:rsid w:val="2DFD1809"/>
    <w:rsid w:val="2FBF91C5"/>
    <w:rsid w:val="2FD2650C"/>
    <w:rsid w:val="33FEF906"/>
    <w:rsid w:val="355F1A75"/>
    <w:rsid w:val="3D4F8C0B"/>
    <w:rsid w:val="3DE511B8"/>
    <w:rsid w:val="3FFF8ACB"/>
    <w:rsid w:val="4EEE761C"/>
    <w:rsid w:val="4FF66697"/>
    <w:rsid w:val="53854257"/>
    <w:rsid w:val="57BF4392"/>
    <w:rsid w:val="5BBE3B2A"/>
    <w:rsid w:val="5CDD0F92"/>
    <w:rsid w:val="5DBDCF0F"/>
    <w:rsid w:val="5DEF5AD9"/>
    <w:rsid w:val="5DFC334A"/>
    <w:rsid w:val="5EBF5C6A"/>
    <w:rsid w:val="5FB14E7A"/>
    <w:rsid w:val="5FBF91F8"/>
    <w:rsid w:val="5FDE5E9E"/>
    <w:rsid w:val="62C423B2"/>
    <w:rsid w:val="632D5E2A"/>
    <w:rsid w:val="63427DB8"/>
    <w:rsid w:val="63645F9E"/>
    <w:rsid w:val="6686503D"/>
    <w:rsid w:val="68E60B93"/>
    <w:rsid w:val="69BB27ED"/>
    <w:rsid w:val="6B7F5966"/>
    <w:rsid w:val="6D03BEF7"/>
    <w:rsid w:val="6F8F2454"/>
    <w:rsid w:val="6FEF5694"/>
    <w:rsid w:val="6FEFA7E6"/>
    <w:rsid w:val="7311772D"/>
    <w:rsid w:val="733F0258"/>
    <w:rsid w:val="73534BD7"/>
    <w:rsid w:val="76F7FD71"/>
    <w:rsid w:val="77BBA140"/>
    <w:rsid w:val="77BD0AFC"/>
    <w:rsid w:val="77FBE637"/>
    <w:rsid w:val="7A5914A1"/>
    <w:rsid w:val="7B0A6450"/>
    <w:rsid w:val="7B5DE84E"/>
    <w:rsid w:val="7BFB198F"/>
    <w:rsid w:val="7CCFCBF8"/>
    <w:rsid w:val="7D4733AE"/>
    <w:rsid w:val="7E6FE754"/>
    <w:rsid w:val="7F7C5EA9"/>
    <w:rsid w:val="7F86EAD4"/>
    <w:rsid w:val="7FAFCA6C"/>
    <w:rsid w:val="7FCD3952"/>
    <w:rsid w:val="7FDB5217"/>
    <w:rsid w:val="7FFB3156"/>
    <w:rsid w:val="7FFDF730"/>
    <w:rsid w:val="83B720FC"/>
    <w:rsid w:val="8DDE82BA"/>
    <w:rsid w:val="9F7E65D5"/>
    <w:rsid w:val="9F813B52"/>
    <w:rsid w:val="AA855C60"/>
    <w:rsid w:val="AF53CBB8"/>
    <w:rsid w:val="AF77E6A6"/>
    <w:rsid w:val="AFD7943B"/>
    <w:rsid w:val="AFDFA3F3"/>
    <w:rsid w:val="B9735474"/>
    <w:rsid w:val="BBDF79A2"/>
    <w:rsid w:val="BEFBB267"/>
    <w:rsid w:val="BF5B9FDA"/>
    <w:rsid w:val="BF7F011B"/>
    <w:rsid w:val="BFA5C187"/>
    <w:rsid w:val="BFCEBF65"/>
    <w:rsid w:val="BFEEBB02"/>
    <w:rsid w:val="C9D3D093"/>
    <w:rsid w:val="CF5E8439"/>
    <w:rsid w:val="DAF5BD18"/>
    <w:rsid w:val="DBF7E52B"/>
    <w:rsid w:val="DDBF73AE"/>
    <w:rsid w:val="DEFE027B"/>
    <w:rsid w:val="DFFF8468"/>
    <w:rsid w:val="E6CDE62D"/>
    <w:rsid w:val="EBFF5891"/>
    <w:rsid w:val="EDEDDFA0"/>
    <w:rsid w:val="EF771D87"/>
    <w:rsid w:val="EFDF79F1"/>
    <w:rsid w:val="F0FD18B8"/>
    <w:rsid w:val="F35B17AF"/>
    <w:rsid w:val="F513060B"/>
    <w:rsid w:val="F57F78AD"/>
    <w:rsid w:val="F767A770"/>
    <w:rsid w:val="F8EFE426"/>
    <w:rsid w:val="FB67C370"/>
    <w:rsid w:val="FB9FFDBA"/>
    <w:rsid w:val="FBFAA833"/>
    <w:rsid w:val="FDAE58A1"/>
    <w:rsid w:val="FDEE6BF9"/>
    <w:rsid w:val="FDFF3E2F"/>
    <w:rsid w:val="FEFF0ED1"/>
    <w:rsid w:val="FFB2AD9B"/>
    <w:rsid w:val="FFDF2323"/>
    <w:rsid w:val="FFF315B3"/>
    <w:rsid w:val="FFFAE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18"/>
      <w:szCs w:val="18"/>
    </w:rPr>
  </w:style>
  <w:style w:type="table" w:customStyle="1" w:styleId="6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font11"/>
    <w:basedOn w:val="4"/>
    <w:autoRedefine/>
    <w:qFormat/>
    <w:uiPriority w:val="0"/>
    <w:rPr>
      <w:rFonts w:hint="eastAsia" w:ascii="微软雅黑" w:hAnsi="微软雅黑" w:eastAsia="微软雅黑" w:cs="微软雅黑"/>
      <w:b/>
      <w:bCs/>
      <w:color w:val="333333"/>
      <w:sz w:val="18"/>
      <w:szCs w:val="18"/>
      <w:u w:val="none"/>
    </w:rPr>
  </w:style>
  <w:style w:type="character" w:customStyle="1" w:styleId="8">
    <w:name w:val="font21"/>
    <w:basedOn w:val="4"/>
    <w:autoRedefine/>
    <w:qFormat/>
    <w:uiPriority w:val="0"/>
    <w:rPr>
      <w:rFonts w:hint="eastAsia" w:ascii="微软雅黑" w:hAnsi="微软雅黑" w:eastAsia="微软雅黑" w:cs="微软雅黑"/>
      <w:b/>
      <w:bCs/>
      <w:color w:val="000000"/>
      <w:sz w:val="18"/>
      <w:szCs w:val="18"/>
      <w:u w:val="none"/>
    </w:rPr>
  </w:style>
  <w:style w:type="character" w:customStyle="1" w:styleId="9">
    <w:name w:val="font31"/>
    <w:basedOn w:val="4"/>
    <w:autoRedefine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customStyle="1" w:styleId="10">
    <w:name w:val="font51"/>
    <w:basedOn w:val="4"/>
    <w:qFormat/>
    <w:uiPriority w:val="0"/>
    <w:rPr>
      <w:rFonts w:ascii="Arial" w:hAnsi="Arial" w:cs="Arial"/>
      <w:color w:val="000000"/>
      <w:sz w:val="21"/>
      <w:szCs w:val="21"/>
      <w:u w:val="none"/>
    </w:rPr>
  </w:style>
  <w:style w:type="character" w:customStyle="1" w:styleId="11">
    <w:name w:val="font41"/>
    <w:basedOn w:val="4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1856</Words>
  <Characters>2071</Characters>
  <Lines>14</Lines>
  <Paragraphs>4</Paragraphs>
  <TotalTime>10</TotalTime>
  <ScaleCrop>false</ScaleCrop>
  <LinksUpToDate>false</LinksUpToDate>
  <CharactersWithSpaces>2278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2024-04-10T10:59:00Z</dcterms:created>
  <dc:creator>31409</dc:creator>
  <cp:lastModifiedBy>W</cp:lastModifiedBy>
  <dcterms:modified xsi:type="dcterms:W3CDTF">2025-03-27T01:36:33Z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4C1651997242484A9772567DE717709D_13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